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36"/>
          <w:szCs w:val="36"/>
        </w:rPr>
      </w:pPr>
    </w:p>
    <w:p>
      <w:pPr>
        <w:spacing w:after="100" w:afterAutospacing="1"/>
        <w:jc w:val="center"/>
        <w:rPr>
          <w:rFonts w:ascii="方正小标宋_GBK" w:eastAsia="方正小标宋_GBK"/>
          <w:sz w:val="36"/>
          <w:szCs w:val="36"/>
        </w:rPr>
      </w:pPr>
      <w:r>
        <w:rPr>
          <w:rFonts w:hint="eastAsia" w:ascii="方正小标宋_GBK" w:eastAsia="方正小标宋_GBK"/>
          <w:sz w:val="36"/>
          <w:szCs w:val="36"/>
        </w:rPr>
        <w:t>江苏省基金会等级评估自评表</w:t>
      </w:r>
    </w:p>
    <w:p>
      <w:pPr>
        <w:rPr>
          <w:b/>
        </w:rPr>
      </w:pPr>
      <w:r>
        <w:rPr>
          <w:rFonts w:hint="eastAsia"/>
          <w:b/>
        </w:rPr>
        <w:t xml:space="preserve">单位名称：       </w:t>
      </w:r>
      <w:r>
        <w:rPr>
          <w:b/>
        </w:rPr>
        <w:t xml:space="preserve">    </w:t>
      </w:r>
      <w:r>
        <w:rPr>
          <w:rFonts w:hint="eastAsia"/>
          <w:b/>
        </w:rPr>
        <w:t xml:space="preserve">                                               填报日期：</w:t>
      </w:r>
    </w:p>
    <w:tbl>
      <w:tblPr>
        <w:tblStyle w:val="5"/>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418"/>
        <w:gridCol w:w="1701"/>
        <w:gridCol w:w="4536"/>
        <w:gridCol w:w="708"/>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1" w:type="dxa"/>
            <w:gridSpan w:val="4"/>
            <w:vAlign w:val="center"/>
          </w:tcPr>
          <w:p>
            <w:pPr>
              <w:widowControl/>
              <w:jc w:val="center"/>
              <w:rPr>
                <w:rFonts w:ascii="宋体" w:hAnsi="宋体" w:eastAsia="宋体" w:cs="宋体"/>
                <w:b/>
                <w:kern w:val="0"/>
                <w:sz w:val="18"/>
                <w:szCs w:val="18"/>
              </w:rPr>
            </w:pPr>
            <w:r>
              <w:rPr>
                <w:rFonts w:hint="eastAsia" w:ascii="宋体" w:hAnsi="宋体" w:eastAsia="宋体" w:cs="宋体"/>
                <w:b/>
                <w:kern w:val="0"/>
                <w:sz w:val="18"/>
                <w:szCs w:val="18"/>
              </w:rPr>
              <w:t>评估指标（1000分）</w:t>
            </w:r>
          </w:p>
        </w:tc>
        <w:tc>
          <w:tcPr>
            <w:tcW w:w="708" w:type="dxa"/>
            <w:vMerge w:val="restart"/>
            <w:vAlign w:val="center"/>
          </w:tcPr>
          <w:p>
            <w:pPr>
              <w:widowControl/>
              <w:jc w:val="center"/>
              <w:rPr>
                <w:rFonts w:ascii="宋体" w:hAnsi="宋体" w:eastAsia="宋体" w:cs="宋体"/>
                <w:b/>
                <w:kern w:val="0"/>
                <w:sz w:val="18"/>
                <w:szCs w:val="18"/>
              </w:rPr>
            </w:pPr>
          </w:p>
          <w:p>
            <w:pPr>
              <w:widowControl/>
              <w:jc w:val="center"/>
              <w:rPr>
                <w:rFonts w:ascii="宋体" w:hAnsi="宋体" w:eastAsia="宋体" w:cs="宋体"/>
                <w:b/>
                <w:kern w:val="0"/>
                <w:sz w:val="18"/>
                <w:szCs w:val="18"/>
              </w:rPr>
            </w:pPr>
            <w:r>
              <w:rPr>
                <w:rFonts w:hint="eastAsia" w:ascii="宋体" w:hAnsi="宋体" w:eastAsia="宋体" w:cs="宋体"/>
                <w:b/>
                <w:kern w:val="0"/>
                <w:sz w:val="18"/>
                <w:szCs w:val="18"/>
              </w:rPr>
              <w:t>分值</w:t>
            </w:r>
          </w:p>
        </w:tc>
        <w:tc>
          <w:tcPr>
            <w:tcW w:w="710" w:type="dxa"/>
            <w:vMerge w:val="restart"/>
            <w:vAlign w:val="center"/>
          </w:tcPr>
          <w:p>
            <w:pPr>
              <w:widowControl/>
              <w:jc w:val="center"/>
              <w:rPr>
                <w:rFonts w:ascii="宋体" w:hAnsi="宋体" w:eastAsia="宋体" w:cs="宋体"/>
                <w:b/>
                <w:kern w:val="0"/>
                <w:sz w:val="18"/>
                <w:szCs w:val="18"/>
              </w:rPr>
            </w:pPr>
            <w:r>
              <w:rPr>
                <w:rFonts w:hint="eastAsia" w:ascii="宋体" w:hAnsi="宋体" w:eastAsia="宋体" w:cs="宋体"/>
                <w:b/>
                <w:kern w:val="0"/>
                <w:sz w:val="18"/>
                <w:szCs w:val="18"/>
              </w:rPr>
              <w:t>自</w:t>
            </w:r>
          </w:p>
          <w:p>
            <w:pPr>
              <w:widowControl/>
              <w:jc w:val="center"/>
              <w:rPr>
                <w:rFonts w:ascii="宋体" w:hAnsi="宋体" w:eastAsia="宋体" w:cs="宋体"/>
                <w:b/>
                <w:kern w:val="0"/>
                <w:sz w:val="18"/>
                <w:szCs w:val="18"/>
              </w:rPr>
            </w:pPr>
            <w:r>
              <w:rPr>
                <w:rFonts w:hint="eastAsia" w:ascii="宋体" w:hAnsi="宋体" w:eastAsia="宋体" w:cs="宋体"/>
                <w:b/>
                <w:kern w:val="0"/>
                <w:sz w:val="18"/>
                <w:szCs w:val="18"/>
              </w:rPr>
              <w:t>评</w:t>
            </w:r>
          </w:p>
          <w:p>
            <w:pPr>
              <w:widowControl/>
              <w:jc w:val="center"/>
              <w:rPr>
                <w:rFonts w:ascii="宋体" w:hAnsi="宋体" w:eastAsia="宋体" w:cs="宋体"/>
                <w:b/>
                <w:kern w:val="0"/>
                <w:sz w:val="18"/>
                <w:szCs w:val="18"/>
              </w:rPr>
            </w:pPr>
            <w:r>
              <w:rPr>
                <w:rFonts w:hint="eastAsia" w:ascii="宋体" w:hAnsi="宋体" w:eastAsia="宋体" w:cs="宋体"/>
                <w:b/>
                <w:kern w:val="0"/>
                <w:sz w:val="18"/>
                <w:szCs w:val="18"/>
              </w:rPr>
              <w:t>得</w:t>
            </w:r>
          </w:p>
          <w:p>
            <w:pPr>
              <w:widowControl/>
              <w:jc w:val="center"/>
              <w:rPr>
                <w:rFonts w:ascii="宋体" w:hAnsi="宋体" w:eastAsia="宋体" w:cs="宋体"/>
                <w:b/>
                <w:kern w:val="0"/>
                <w:sz w:val="18"/>
                <w:szCs w:val="18"/>
              </w:rPr>
            </w:pPr>
            <w:r>
              <w:rPr>
                <w:rFonts w:hint="eastAsia" w:ascii="宋体" w:hAnsi="宋体" w:eastAsia="宋体" w:cs="宋体"/>
                <w:b/>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76" w:type="dxa"/>
            <w:vAlign w:val="center"/>
          </w:tcPr>
          <w:p>
            <w:pPr>
              <w:widowControl/>
              <w:jc w:val="center"/>
              <w:rPr>
                <w:rFonts w:ascii="宋体" w:hAnsi="宋体" w:eastAsia="宋体" w:cs="宋体"/>
                <w:b/>
                <w:kern w:val="0"/>
                <w:sz w:val="18"/>
                <w:szCs w:val="18"/>
              </w:rPr>
            </w:pPr>
            <w:r>
              <w:rPr>
                <w:rFonts w:hint="eastAsia" w:ascii="宋体" w:hAnsi="宋体" w:eastAsia="宋体" w:cs="宋体"/>
                <w:b/>
                <w:kern w:val="0"/>
                <w:sz w:val="18"/>
                <w:szCs w:val="18"/>
              </w:rPr>
              <w:t>一级指标</w:t>
            </w:r>
          </w:p>
        </w:tc>
        <w:tc>
          <w:tcPr>
            <w:tcW w:w="1418" w:type="dxa"/>
            <w:vAlign w:val="center"/>
          </w:tcPr>
          <w:p>
            <w:pPr>
              <w:widowControl/>
              <w:jc w:val="center"/>
              <w:rPr>
                <w:rFonts w:ascii="宋体" w:hAnsi="宋体" w:eastAsia="宋体" w:cs="宋体"/>
                <w:b/>
                <w:kern w:val="0"/>
                <w:sz w:val="18"/>
                <w:szCs w:val="18"/>
              </w:rPr>
            </w:pPr>
            <w:r>
              <w:rPr>
                <w:rFonts w:hint="eastAsia" w:ascii="宋体" w:hAnsi="宋体" w:eastAsia="宋体" w:cs="宋体"/>
                <w:b/>
                <w:kern w:val="0"/>
                <w:sz w:val="18"/>
                <w:szCs w:val="18"/>
              </w:rPr>
              <w:t>二级指标</w:t>
            </w:r>
          </w:p>
        </w:tc>
        <w:tc>
          <w:tcPr>
            <w:tcW w:w="1701" w:type="dxa"/>
            <w:vAlign w:val="center"/>
          </w:tcPr>
          <w:p>
            <w:pPr>
              <w:widowControl/>
              <w:jc w:val="center"/>
              <w:rPr>
                <w:rFonts w:ascii="宋体" w:hAnsi="宋体" w:eastAsia="宋体" w:cs="宋体"/>
                <w:b/>
                <w:kern w:val="0"/>
                <w:sz w:val="18"/>
                <w:szCs w:val="18"/>
              </w:rPr>
            </w:pPr>
            <w:r>
              <w:rPr>
                <w:rFonts w:hint="eastAsia" w:ascii="宋体" w:hAnsi="宋体" w:eastAsia="宋体" w:cs="宋体"/>
                <w:b/>
                <w:kern w:val="0"/>
                <w:sz w:val="18"/>
                <w:szCs w:val="18"/>
              </w:rPr>
              <w:t>三级指标</w:t>
            </w:r>
          </w:p>
        </w:tc>
        <w:tc>
          <w:tcPr>
            <w:tcW w:w="4536" w:type="dxa"/>
            <w:vAlign w:val="center"/>
          </w:tcPr>
          <w:p>
            <w:pPr>
              <w:widowControl/>
              <w:jc w:val="center"/>
              <w:rPr>
                <w:rFonts w:ascii="宋体" w:hAnsi="宋体" w:eastAsia="宋体" w:cs="宋体"/>
                <w:b/>
                <w:kern w:val="0"/>
                <w:sz w:val="18"/>
                <w:szCs w:val="18"/>
              </w:rPr>
            </w:pPr>
            <w:r>
              <w:rPr>
                <w:rFonts w:hint="eastAsia" w:ascii="宋体" w:hAnsi="宋体" w:eastAsia="宋体" w:cs="宋体"/>
                <w:b/>
                <w:kern w:val="0"/>
                <w:sz w:val="18"/>
                <w:szCs w:val="18"/>
              </w:rPr>
              <w:t>四级指标</w:t>
            </w:r>
          </w:p>
        </w:tc>
        <w:tc>
          <w:tcPr>
            <w:tcW w:w="708" w:type="dxa"/>
            <w:vMerge w:val="continue"/>
            <w:vAlign w:val="center"/>
          </w:tcPr>
          <w:p>
            <w:pPr>
              <w:widowControl/>
              <w:jc w:val="center"/>
              <w:rPr>
                <w:rFonts w:ascii="宋体" w:hAnsi="宋体" w:eastAsia="宋体" w:cs="宋体"/>
                <w:kern w:val="0"/>
                <w:sz w:val="18"/>
                <w:szCs w:val="18"/>
              </w:rPr>
            </w:pPr>
          </w:p>
        </w:tc>
        <w:tc>
          <w:tcPr>
            <w:tcW w:w="710" w:type="dxa"/>
            <w:vMerge w:val="continue"/>
            <w:vAlign w:val="center"/>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restart"/>
            <w:vAlign w:val="center"/>
          </w:tcPr>
          <w:p>
            <w:pPr>
              <w:widowControl/>
              <w:jc w:val="center"/>
              <w:rPr>
                <w:rFonts w:ascii="宋体" w:hAnsi="宋体" w:eastAsia="宋体" w:cs="宋体"/>
                <w:b/>
                <w:kern w:val="0"/>
                <w:sz w:val="18"/>
                <w:szCs w:val="18"/>
              </w:rPr>
            </w:pPr>
            <w:r>
              <w:rPr>
                <w:rFonts w:hint="eastAsia" w:ascii="宋体" w:hAnsi="宋体" w:eastAsia="宋体" w:cs="宋体"/>
                <w:b/>
                <w:kern w:val="0"/>
                <w:sz w:val="18"/>
                <w:szCs w:val="18"/>
              </w:rPr>
              <w:t>一、基础条件（80分）</w:t>
            </w:r>
          </w:p>
        </w:tc>
        <w:tc>
          <w:tcPr>
            <w:tcW w:w="1418"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1.1法人资格</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（30分）</w:t>
            </w: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1.1.1法定代表人</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（10分）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1.1.1.1按章程规定的程序选举产生</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1.1.1.2领导兼职按规定报批</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1.1.1.3任职年龄符合章程规定的要求</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1.1.2原始基金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1.1.2.1申报前2个年度年末净资产均不低于注册原始基金。</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1.1.3办公条件（10分）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1.1.3.1有不小于20平方米的独立办公用房</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1.1.3.2住所拥有产权或使用权</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1.1.3.3配备办公自动化设备</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1.2章程规范</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（20分）</w:t>
            </w: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1.2.1章程制定、修改程序（20分）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1.2.1.1章程经理事会审议通过并经登记管理机关核准</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1.2.1.2章程中体现党的建设和社会主义核心价值观有关内容</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1.3登记、备案程序合法</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（20分）</w:t>
            </w:r>
          </w:p>
        </w:tc>
        <w:tc>
          <w:tcPr>
            <w:tcW w:w="1701"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1.3.1按规定变更登记（10分）</w:t>
            </w:r>
          </w:p>
        </w:tc>
        <w:tc>
          <w:tcPr>
            <w:tcW w:w="4536" w:type="dxa"/>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1.3.1.1变更程序符合条例规定，并履行手续</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1.3.2按规定备案（10分）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1.3.2.1办理备案手续且备案事项完整（负责人变更、理事、监事变更，单位印章、银行帐户、财务印章、法人印章、办事机构等），缺1项扣1分</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1.4遵纪守法</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（10分）</w:t>
            </w: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1.4.1年检年报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1.4.1.1按要求参加年检检查，并连续2年年检合格（适用于参加年检的基金会）</w:t>
            </w:r>
          </w:p>
        </w:tc>
        <w:tc>
          <w:tcPr>
            <w:tcW w:w="708"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vMerge w:val="restart"/>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按要求报送年度工作报告，无违法违规情形（适用于参加年报的基金会）</w:t>
            </w:r>
          </w:p>
        </w:tc>
        <w:tc>
          <w:tcPr>
            <w:tcW w:w="708" w:type="dxa"/>
            <w:vMerge w:val="continue"/>
            <w:vAlign w:val="center"/>
          </w:tcPr>
          <w:p>
            <w:pPr>
              <w:widowControl/>
              <w:jc w:val="center"/>
              <w:rPr>
                <w:rFonts w:ascii="宋体" w:hAnsi="宋体" w:eastAsia="宋体" w:cs="宋体"/>
                <w:kern w:val="0"/>
                <w:sz w:val="18"/>
                <w:szCs w:val="18"/>
              </w:rPr>
            </w:pPr>
          </w:p>
        </w:tc>
        <w:tc>
          <w:tcPr>
            <w:tcW w:w="710" w:type="dxa"/>
            <w:vMerge w:val="continue"/>
          </w:tcPr>
          <w:p>
            <w:pPr>
              <w:widowControl/>
              <w:jc w:val="left"/>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1.4.2遵纪守法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（5分）</w:t>
            </w:r>
          </w:p>
        </w:tc>
        <w:tc>
          <w:tcPr>
            <w:tcW w:w="4536" w:type="dxa"/>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1.4.2.1遵守国家法律、法规和政策，无违法违纪现象</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6" w:type="dxa"/>
            <w:vMerge w:val="restart"/>
            <w:vAlign w:val="center"/>
          </w:tcPr>
          <w:p>
            <w:pPr>
              <w:widowControl/>
              <w:rPr>
                <w:rFonts w:ascii="宋体" w:hAnsi="宋体" w:eastAsia="宋体" w:cs="宋体"/>
                <w:b/>
                <w:kern w:val="0"/>
                <w:sz w:val="18"/>
                <w:szCs w:val="18"/>
              </w:rPr>
            </w:pPr>
          </w:p>
          <w:p>
            <w:pPr>
              <w:widowControl/>
              <w:rPr>
                <w:rFonts w:ascii="宋体" w:hAnsi="宋体" w:eastAsia="宋体" w:cs="宋体"/>
                <w:b/>
                <w:kern w:val="0"/>
                <w:sz w:val="18"/>
                <w:szCs w:val="18"/>
              </w:rPr>
            </w:pPr>
          </w:p>
          <w:p>
            <w:pPr>
              <w:widowControl/>
              <w:rPr>
                <w:rFonts w:ascii="宋体" w:hAnsi="宋体" w:eastAsia="宋体" w:cs="宋体"/>
                <w:b/>
                <w:kern w:val="0"/>
                <w:sz w:val="18"/>
                <w:szCs w:val="18"/>
              </w:rPr>
            </w:pPr>
          </w:p>
          <w:p>
            <w:pPr>
              <w:widowControl/>
              <w:rPr>
                <w:rFonts w:ascii="宋体" w:hAnsi="宋体" w:eastAsia="宋体" w:cs="宋体"/>
                <w:b/>
                <w:kern w:val="0"/>
                <w:sz w:val="18"/>
                <w:szCs w:val="18"/>
              </w:rPr>
            </w:pPr>
            <w:r>
              <w:rPr>
                <w:rFonts w:hint="eastAsia" w:ascii="宋体" w:hAnsi="宋体" w:eastAsia="宋体" w:cs="宋体"/>
                <w:b/>
                <w:kern w:val="0"/>
                <w:sz w:val="18"/>
                <w:szCs w:val="18"/>
              </w:rPr>
              <w:t>二、内部治理</w:t>
            </w:r>
            <w:r>
              <w:rPr>
                <w:rFonts w:hint="eastAsia" w:ascii="宋体" w:hAnsi="宋体" w:eastAsia="宋体" w:cs="宋体"/>
                <w:b/>
                <w:kern w:val="0"/>
                <w:sz w:val="18"/>
                <w:szCs w:val="18"/>
              </w:rPr>
              <w:br w:type="textWrapping"/>
            </w:r>
            <w:r>
              <w:rPr>
                <w:rFonts w:hint="eastAsia" w:ascii="宋体" w:hAnsi="宋体" w:eastAsia="宋体" w:cs="宋体"/>
                <w:b/>
                <w:kern w:val="0"/>
                <w:sz w:val="18"/>
                <w:szCs w:val="18"/>
              </w:rPr>
              <w:t>（400分）</w:t>
            </w:r>
          </w:p>
          <w:p>
            <w:pPr>
              <w:widowControl/>
              <w:rPr>
                <w:rFonts w:ascii="宋体" w:hAnsi="宋体" w:eastAsia="宋体" w:cs="宋体"/>
                <w:b/>
                <w:kern w:val="0"/>
                <w:sz w:val="18"/>
                <w:szCs w:val="18"/>
              </w:rPr>
            </w:pPr>
          </w:p>
          <w:p>
            <w:pPr>
              <w:widowControl/>
              <w:rPr>
                <w:rFonts w:ascii="宋体" w:hAnsi="宋体" w:eastAsia="宋体" w:cs="宋体"/>
                <w:b/>
                <w:kern w:val="0"/>
                <w:sz w:val="18"/>
                <w:szCs w:val="18"/>
              </w:rPr>
            </w:pPr>
          </w:p>
          <w:p>
            <w:pPr>
              <w:widowControl/>
              <w:rPr>
                <w:rFonts w:ascii="宋体" w:hAnsi="宋体" w:eastAsia="宋体" w:cs="宋体"/>
                <w:b/>
                <w:kern w:val="0"/>
                <w:sz w:val="18"/>
                <w:szCs w:val="18"/>
              </w:rPr>
            </w:pPr>
          </w:p>
          <w:p>
            <w:pPr>
              <w:widowControl/>
              <w:rPr>
                <w:rFonts w:ascii="宋体" w:hAnsi="宋体" w:eastAsia="宋体" w:cs="宋体"/>
                <w:b/>
                <w:kern w:val="0"/>
                <w:sz w:val="18"/>
                <w:szCs w:val="18"/>
              </w:rPr>
            </w:pPr>
          </w:p>
          <w:p>
            <w:pPr>
              <w:widowControl/>
              <w:rPr>
                <w:rFonts w:ascii="宋体" w:hAnsi="宋体" w:eastAsia="宋体" w:cs="宋体"/>
                <w:b/>
                <w:kern w:val="0"/>
                <w:sz w:val="18"/>
                <w:szCs w:val="18"/>
              </w:rPr>
            </w:pPr>
          </w:p>
        </w:tc>
        <w:tc>
          <w:tcPr>
            <w:tcW w:w="1418"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2.1组织机构（155分）</w:t>
            </w:r>
          </w:p>
          <w:p>
            <w:pPr>
              <w:jc w:val="center"/>
              <w:rPr>
                <w:rFonts w:ascii="宋体" w:hAnsi="宋体" w:eastAsia="宋体" w:cs="宋体"/>
                <w:kern w:val="0"/>
                <w:sz w:val="18"/>
                <w:szCs w:val="18"/>
              </w:rPr>
            </w:pPr>
          </w:p>
          <w:p>
            <w:pPr>
              <w:jc w:val="center"/>
              <w:rPr>
                <w:rFonts w:ascii="宋体" w:hAnsi="宋体" w:eastAsia="宋体" w:cs="宋体"/>
                <w:kern w:val="0"/>
                <w:sz w:val="18"/>
                <w:szCs w:val="18"/>
              </w:rPr>
            </w:pP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2.1.1决策机构-理事会（55分）</w:t>
            </w:r>
          </w:p>
          <w:p>
            <w:pPr>
              <w:jc w:val="center"/>
              <w:rPr>
                <w:rFonts w:ascii="宋体" w:hAnsi="宋体" w:eastAsia="宋体" w:cs="宋体"/>
                <w:kern w:val="0"/>
                <w:sz w:val="18"/>
                <w:szCs w:val="18"/>
              </w:rPr>
            </w:pPr>
          </w:p>
          <w:p>
            <w:pPr>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2.1.1.1 按条例和章程规定及时换届</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jc w:val="center"/>
              <w:rPr>
                <w:rFonts w:ascii="宋体" w:hAnsi="宋体" w:eastAsia="宋体" w:cs="宋体"/>
                <w:kern w:val="0"/>
                <w:sz w:val="18"/>
                <w:szCs w:val="18"/>
              </w:rPr>
            </w:pPr>
          </w:p>
        </w:tc>
        <w:tc>
          <w:tcPr>
            <w:tcW w:w="1701" w:type="dxa"/>
            <w:vMerge w:val="continue"/>
            <w:vAlign w:val="center"/>
          </w:tcPr>
          <w:p>
            <w:pPr>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2.1.1.2 召开理事会次数不低于基金会管理条例规定的2次，少一次扣2.5分，扣到0分为止</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jc w:val="center"/>
              <w:rPr>
                <w:rFonts w:ascii="宋体" w:hAnsi="宋体" w:eastAsia="宋体" w:cs="宋体"/>
                <w:kern w:val="0"/>
                <w:sz w:val="18"/>
                <w:szCs w:val="18"/>
              </w:rPr>
            </w:pPr>
          </w:p>
        </w:tc>
        <w:tc>
          <w:tcPr>
            <w:tcW w:w="1701" w:type="dxa"/>
            <w:vMerge w:val="continue"/>
            <w:vAlign w:val="center"/>
          </w:tcPr>
          <w:p>
            <w:pPr>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2.1.1.3 理事会会议记录、会议纪要和理事签名，缺一项扣1分，扣到0分为止</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jc w:val="center"/>
              <w:rPr>
                <w:rFonts w:ascii="宋体" w:hAnsi="宋体" w:eastAsia="宋体" w:cs="宋体"/>
                <w:kern w:val="0"/>
                <w:sz w:val="18"/>
                <w:szCs w:val="18"/>
              </w:rPr>
            </w:pPr>
          </w:p>
        </w:tc>
        <w:tc>
          <w:tcPr>
            <w:tcW w:w="1701" w:type="dxa"/>
            <w:vMerge w:val="continue"/>
            <w:vAlign w:val="center"/>
          </w:tcPr>
          <w:p>
            <w:pPr>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2.1.1.4 理事会议事决策民主，无记名投票5分，举手表决3分，鼓掌通过0分</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jc w:val="center"/>
              <w:rPr>
                <w:rFonts w:ascii="宋体" w:hAnsi="宋体" w:eastAsia="宋体" w:cs="宋体"/>
                <w:kern w:val="0"/>
                <w:sz w:val="18"/>
                <w:szCs w:val="18"/>
              </w:rPr>
            </w:pPr>
          </w:p>
        </w:tc>
        <w:tc>
          <w:tcPr>
            <w:tcW w:w="1701" w:type="dxa"/>
            <w:vMerge w:val="continue"/>
            <w:vAlign w:val="center"/>
          </w:tcPr>
          <w:p>
            <w:pPr>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2.1.1.5 理事会人数在5至25人之间且为单数</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jc w:val="center"/>
              <w:rPr>
                <w:rFonts w:ascii="宋体" w:hAnsi="宋体" w:eastAsia="宋体" w:cs="宋体"/>
                <w:kern w:val="0"/>
                <w:sz w:val="18"/>
                <w:szCs w:val="18"/>
              </w:rPr>
            </w:pPr>
          </w:p>
        </w:tc>
        <w:tc>
          <w:tcPr>
            <w:tcW w:w="1701" w:type="dxa"/>
            <w:vMerge w:val="continue"/>
            <w:vAlign w:val="center"/>
          </w:tcPr>
          <w:p>
            <w:pPr>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2.1.1.6 受薪理事未超过理事总人数的1/3且无近亲属关系的理事任职现象（用私人财产设立的非公募基金会中有近亲属关系的理事不超过理事总人数的1/3）</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2.2.1.7负责人届次、年龄符合规定</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2.2.1.8有专职秘书长</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2.2.1.9退（离）休领导干部兼职符合规定，并按规定履行报批手续</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2.2.1.10退（离）休领导干部兼职不取酬</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2.1.2监督机构-监事或监事会（20分）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2.1.2.1 有1名以上监事且基金会财务人员、理事或理事近亲属未兼任监事</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2.1.2.2 监事不在基金会领取报酬</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2.1.2.3 每次理事会监事全体出席5分；每次理事会均有监事出席，部分缺席2分；部分理事会监事未出席1分</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2.1.2.4 监事按规定履职，两年年度工作报告均有监事签字</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2.1.3内设机构（20分）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2.1.3.1设立秘书处、办公室等内设机构</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2.1.3.2各内设机构职责明确、运转协调</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2.1.4分支（代表）机构（10分）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2.1.4.1设立、变更和终止分支机构或代表机构按章程履行程序</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2.1.4.2制定分支（代表）机构管理办法</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2.1.4.3分支机构（代表）履行职能情况</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2.1.5党组织建设（50分）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2.1.5.1具备条件的建立了党组织，不具备组建条件但已纳入相应的党组织进行管理教育或选派有党建指导员、联络员落实党的工作覆盖（应建未建或有党员未纳入相应党组织管理教育的，得0分且不得评为4A（含）以上等级）</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2.1.5.2党组织工作制度完善，各种制度落实工作记录内容完整、格式规范（包括“三会一课”记录、民主生活会记录、党支部活动记录等）</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2.1.5.3党组织作用发挥良好，党组织对社会组织重大事项决策、重要业务活动等积极合理提出意见；党员模范带头作用明显</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2.1.5.4党组织活动经费有保障，能够结合业务工作开展主题党日、党员志愿服务队等活动，党员积极参与</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2.1.5.5有固定的党员活动室，或设置规范的党建宣传栏</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jc w:val="left"/>
              <w:rPr>
                <w:rFonts w:ascii="宋体" w:hAnsi="宋体" w:eastAsia="宋体" w:cs="宋体"/>
                <w:kern w:val="0"/>
                <w:sz w:val="18"/>
                <w:szCs w:val="18"/>
              </w:rPr>
            </w:pPr>
          </w:p>
        </w:tc>
        <w:tc>
          <w:tcPr>
            <w:tcW w:w="1418"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2.2人力资源管理（50分）</w:t>
            </w: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2.2.1队伍建设 （25分）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2.2.1.1有专职工作人员（2分），每增加1人加1分，加满5分为止</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2.2.1.2从业人员年龄结构合理，从事专业岗位的人员有相应的专业职称</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2.2.1.3从业人员中大专以上学历者占50%以上</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2.2.1.4有专职工作人员的培训计划和培训记录</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2.2.1.5按规定参加政府部门组织的业务培训</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2.2.2人事制度（15分）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2.2.2.1建立人员聘用制度、签订劳动合同</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2.2.2.2建立人员薪酬、考核、奖惩制度</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2.2.2.3落实社会保险和住房公积金政策</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2.2.3志愿者</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2.2.3.1建立志愿者招募及管理制度</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2.2.3.2有一定数量的志愿者队伍，形成制度化、常态化</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jc w:val="left"/>
              <w:rPr>
                <w:rFonts w:ascii="宋体" w:hAnsi="宋体" w:eastAsia="宋体" w:cs="宋体"/>
                <w:kern w:val="0"/>
                <w:sz w:val="18"/>
                <w:szCs w:val="18"/>
              </w:rPr>
            </w:pPr>
          </w:p>
        </w:tc>
        <w:tc>
          <w:tcPr>
            <w:tcW w:w="1418"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2.3财务资产管理（175分）</w:t>
            </w: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2.3.1合法运营（40分）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2.3.1.1经费来源和资金使用符合国家政策法规、基金会章程规定</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2.3.1.2资金收支全部纳入符合规定的单位账户和位账簿</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2.3.1.3履行税务登记和申报</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2.3.1.4捐赠票据和税务票据使用规范</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2.3.2会计机构、会计人员(10分)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2.3.2.1 设置独立的会计机构，会计人员配备合理，会计出纳分设，分工明确</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2.3.2.2 会计负责人具有会计师职称；会计人员有相应资格证书，按规定完成继续教育</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2.3.3会计核算</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2.3.3.1 执行《民间非营利组织会计制度》，规范设置会计科目、账册、凭单、内外部报表，实施电算化</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2.3.3.2记账规范</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2.3.3.3项目核算规范</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2.3.3.4会计报表真实、完整</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2.3.3.5会计档案管理规范，有会计档案清册，专人保管</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2.3.4财务管理（15分）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2.3.4.1制定了完善的内部财务管理制度</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2.3.4.2严格执行各项内部财务管理制度</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2.3.4.3支出、审批权限规定明确，且手续齐全</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2.3.5预算管理（15分）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2.3.5.1建立预算管理制度</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2.3.5.2每年编制年度预算并经理事会通过</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2.3.5.3预算执行情况良好，年末有预算执行情况报告</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2.3.6投资管理（15分）</w:t>
            </w:r>
          </w:p>
        </w:tc>
        <w:tc>
          <w:tcPr>
            <w:tcW w:w="4536" w:type="dxa"/>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2.3.6.1 建立投资管理制度</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2.3.6.2 遵守《慈善组织保值增值投资活动管理暂行办法》，对外投资符合规定</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2.3.6.3投资收益良好，实现基金保值增值</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2.3.7实物资产管理（10分）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2.3.7.1建立物资管理制度，并按制度办理入库和领用手续，年末进行盘点</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2.3.7.2固定资产标准和折旧年限确定合理，折旧计提准确</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2.3.8关联方关系控制(10分)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2.3.8.1关联方无违规交易和无有失公平交易行为</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2.3.8.2无关联方占用基金会资金的行为</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2.3.9监督审计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2.3.9.1按章程规定向理事会、监事会报告半年度和年度财务预决算报告</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2.3.9.2有年度审计报告、年度专项信息审核报告</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2.3.9.3有理事会换届审计报告、法定代表人离任审计报告</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2.3.9.4重大项目有专项审计报告</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2.4档案、证章管理（20分）</w:t>
            </w: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2.4.1档案管理（10分）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2.4.1.1有专门的场所和专柜保存档案</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2.4.1.2有专人管理档案</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2.4.2证书、印章管理（10分）</w:t>
            </w:r>
          </w:p>
        </w:tc>
        <w:tc>
          <w:tcPr>
            <w:tcW w:w="4536" w:type="dxa"/>
          </w:tcPr>
          <w:p>
            <w:pPr>
              <w:widowControl/>
              <w:rPr>
                <w:rFonts w:ascii="宋体" w:hAnsi="宋体" w:eastAsia="宋体" w:cs="宋体"/>
                <w:kern w:val="0"/>
                <w:sz w:val="18"/>
                <w:szCs w:val="18"/>
              </w:rPr>
            </w:pPr>
            <w:r>
              <w:rPr>
                <w:rFonts w:hint="eastAsia" w:ascii="宋体" w:hAnsi="宋体" w:eastAsia="宋体" w:cs="宋体"/>
                <w:kern w:val="0"/>
                <w:sz w:val="18"/>
                <w:szCs w:val="18"/>
              </w:rPr>
              <w:t>2.4.2.1各种证书在有效期内（获奖证书除外）</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2.4.2.2有健全的印章保管和使用制度</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restart"/>
            <w:vAlign w:val="center"/>
          </w:tcPr>
          <w:p>
            <w:pPr>
              <w:widowControl/>
              <w:jc w:val="center"/>
              <w:rPr>
                <w:rFonts w:ascii="宋体" w:hAnsi="宋体" w:eastAsia="宋体" w:cs="宋体"/>
                <w:b/>
                <w:kern w:val="0"/>
                <w:sz w:val="18"/>
                <w:szCs w:val="18"/>
              </w:rPr>
            </w:pPr>
            <w:r>
              <w:rPr>
                <w:rFonts w:hint="eastAsia" w:ascii="宋体" w:hAnsi="宋体" w:eastAsia="宋体" w:cs="宋体"/>
                <w:b/>
                <w:kern w:val="0"/>
                <w:sz w:val="18"/>
                <w:szCs w:val="18"/>
              </w:rPr>
              <w:t>三、工作绩效（420分）</w:t>
            </w:r>
          </w:p>
        </w:tc>
        <w:tc>
          <w:tcPr>
            <w:tcW w:w="1418"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3.1战略与规划（20分）</w:t>
            </w: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3.1.1战略规划与落实（10分）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3.1.1.1制定明确合理的战略规划</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3.1.1.2战略规划得以贯彻执行并定期修订</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3.1.2年度计划制定及实施（10分）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3.1.2.1制定详细的年度工作计划</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3.1.2.2年度计划得到有效执行，年度主要目标基本完成情况好</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3.2收入规模、社会捐赠、募集和政府购买服务(130分)</w:t>
            </w: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3.2.1总收入规模(40分)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3.2.1.1 以申报前两年全省平均水平为参照数（公募、非公募分别计算）。</w:t>
            </w:r>
          </w:p>
        </w:tc>
        <w:tc>
          <w:tcPr>
            <w:tcW w:w="708"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710" w:type="dxa"/>
            <w:vMerge w:val="restart"/>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得分=标准分值×1.2×本基金会前两年平均收入/（本基金会前两年平均收入+全省平均水平)，最高不超过40分</w:t>
            </w:r>
          </w:p>
        </w:tc>
        <w:tc>
          <w:tcPr>
            <w:tcW w:w="708" w:type="dxa"/>
            <w:vMerge w:val="continue"/>
            <w:vAlign w:val="center"/>
          </w:tcPr>
          <w:p>
            <w:pPr>
              <w:widowControl/>
              <w:jc w:val="center"/>
              <w:rPr>
                <w:rFonts w:ascii="宋体" w:hAnsi="宋体" w:eastAsia="宋体" w:cs="宋体"/>
                <w:kern w:val="0"/>
                <w:sz w:val="18"/>
                <w:szCs w:val="18"/>
              </w:rPr>
            </w:pPr>
          </w:p>
        </w:tc>
        <w:tc>
          <w:tcPr>
            <w:tcW w:w="710" w:type="dxa"/>
            <w:vMerge w:val="continue"/>
          </w:tcPr>
          <w:p>
            <w:pPr>
              <w:widowControl/>
              <w:jc w:val="left"/>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3.2.2年度捐赠收入规模(40分)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3.2.2.1以申报前两年全省平均水平为参照数（公募、非公募分别计算）。</w:t>
            </w:r>
          </w:p>
        </w:tc>
        <w:tc>
          <w:tcPr>
            <w:tcW w:w="708"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710" w:type="dxa"/>
            <w:vMerge w:val="restart"/>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得分=标准分值×1.2×本基金会前两年平均捐赠收入/（本基金会前两年平均捐赠收入+全省平均水平)，最高不超过40分</w:t>
            </w:r>
          </w:p>
        </w:tc>
        <w:tc>
          <w:tcPr>
            <w:tcW w:w="708" w:type="dxa"/>
            <w:vMerge w:val="continue"/>
            <w:vAlign w:val="center"/>
          </w:tcPr>
          <w:p>
            <w:pPr>
              <w:widowControl/>
              <w:jc w:val="center"/>
              <w:rPr>
                <w:rFonts w:ascii="宋体" w:hAnsi="宋体" w:eastAsia="宋体" w:cs="宋体"/>
                <w:kern w:val="0"/>
                <w:sz w:val="18"/>
                <w:szCs w:val="18"/>
              </w:rPr>
            </w:pPr>
          </w:p>
        </w:tc>
        <w:tc>
          <w:tcPr>
            <w:tcW w:w="710" w:type="dxa"/>
            <w:vMerge w:val="continue"/>
          </w:tcPr>
          <w:p>
            <w:pPr>
              <w:widowControl/>
              <w:jc w:val="left"/>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3.2.3政府购买服务收入规模(20分)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3.2.3.1接受政府购买服务金额和项目配套资金金额，每10万元得4分，加满20分为止</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3.2.4净资产规模 (30分)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3.2.4.1净资产逐年增加（10分），年增幅每提升10%加5分，加满30分为止</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3.3公益活动规模和效益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（70分)</w:t>
            </w: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3.3.1公益支出规模（40分）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3.3.1.1 以申报前两年全省平均水平为参照数（公募、非公募分别计算）</w:t>
            </w:r>
          </w:p>
        </w:tc>
        <w:tc>
          <w:tcPr>
            <w:tcW w:w="708"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710" w:type="dxa"/>
            <w:vMerge w:val="restart"/>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得分=标准分值×1.2×本基金会前两年平均支出/（本基金会前两年平均支出+全省平均水平)，最高不超过40分</w:t>
            </w:r>
          </w:p>
        </w:tc>
        <w:tc>
          <w:tcPr>
            <w:tcW w:w="708" w:type="dxa"/>
            <w:vMerge w:val="continue"/>
            <w:vAlign w:val="center"/>
          </w:tcPr>
          <w:p>
            <w:pPr>
              <w:widowControl/>
              <w:jc w:val="center"/>
              <w:rPr>
                <w:rFonts w:ascii="宋体" w:hAnsi="宋体" w:eastAsia="宋体" w:cs="宋体"/>
                <w:kern w:val="0"/>
                <w:sz w:val="18"/>
                <w:szCs w:val="18"/>
              </w:rPr>
            </w:pPr>
          </w:p>
        </w:tc>
        <w:tc>
          <w:tcPr>
            <w:tcW w:w="710" w:type="dxa"/>
            <w:vMerge w:val="continue"/>
          </w:tcPr>
          <w:p>
            <w:pPr>
              <w:widowControl/>
              <w:jc w:val="left"/>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3.3.2公益支出比例(20分)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3.3.2.1公益支出比例符合规定（《慈善法》、《基金会管理条例》）</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3.3.3工作人员工资福利和行政办公支比例(10分)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3.3.3.1工作人员工资福利和行政办公支出比例符合规定（《慈善法》、《基金会管理条例》）</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3.4项目开发与运作(100分)</w:t>
            </w: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3.4.1项目设计（20分）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3.4.1.1项目符合基金会的宗旨和业务范围</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3.4.1.2以社会需求为导向开发项目</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3.4.2项目管理（40分）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3.4.2.1建立项目管理制度，项目有论证、计划及报批流程管理</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3.4.2.2项目选择公平合理，项目立项进行公示；对项目实施过程进行监督和反馈</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3.4.2.3有受益人和受益单位确认书，受益人和受益单位信息齐全</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3.4.2.4项目完成后有详尽的总结和项目评估书面材料，项目完结归档管理</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3.4.3项目社会效益（20分）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3.4.3.1项目连续运行2年以上，形成具有较高社会影响力的公益品牌</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3.4.3.2项目受到媒体报道，社会知名度高</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3.4.4扶贫攻坚项目(20分)</w:t>
            </w:r>
          </w:p>
        </w:tc>
        <w:tc>
          <w:tcPr>
            <w:tcW w:w="4536" w:type="dxa"/>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3.4.4.1持续开展扶贫攻坚项目2年以上</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3.4.4.2近2年平均每年用于扶贫攻坚项目支出达到20万元（含）得5分，每增加10万元加1分，加满10分为止</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3.5信息公开 (100分)</w:t>
            </w: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3.3.1信息公开平台建设（30分）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3.3.1.1有信息公开制度，并明确专人负责</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3.3.1.2公开渠道多样性</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3.3.1.3设立新闻发言人</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3.2.3.4建有网站、刊物等宣传和服务平台，信息更新及时</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3.3.2公开基本信息（10分）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3.3.2.1公开基本信息（章程、组织机构、分支（代表）机构、专项基金、内部管理制度等）</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3.3.3公开社会捐赠信息（30分）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3.3.3.1按规定公开接受捐赠信息</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3.3.3.2按规定公开资金使用情况</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3.3.3.3发布年度工作报告</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3.3.4公开公益资助项目信息（30分）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3.3.4.1公开公益资助项目种类以及申请、评审程序</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3.3.4.2公开选定受助对象</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Merge w:val="continue"/>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3.3.4.3公开项目评估结果</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restart"/>
            <w:vAlign w:val="center"/>
          </w:tcPr>
          <w:p>
            <w:pPr>
              <w:widowControl/>
              <w:jc w:val="center"/>
              <w:rPr>
                <w:rFonts w:ascii="宋体" w:hAnsi="宋体" w:eastAsia="宋体" w:cs="宋体"/>
                <w:b/>
                <w:kern w:val="0"/>
                <w:sz w:val="18"/>
                <w:szCs w:val="18"/>
              </w:rPr>
            </w:pPr>
            <w:r>
              <w:rPr>
                <w:rFonts w:hint="eastAsia" w:ascii="宋体" w:hAnsi="宋体" w:eastAsia="宋体" w:cs="宋体"/>
                <w:b/>
                <w:kern w:val="0"/>
                <w:sz w:val="18"/>
                <w:szCs w:val="18"/>
              </w:rPr>
              <w:t>四、社会评价（100分）</w:t>
            </w:r>
          </w:p>
        </w:tc>
        <w:tc>
          <w:tcPr>
            <w:tcW w:w="1418"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4.1内部评价</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（20分）</w:t>
            </w:r>
          </w:p>
        </w:tc>
        <w:tc>
          <w:tcPr>
            <w:tcW w:w="1701"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4.1.1理事评价</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(10分)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4.1.1.1对基金会重大事项民主决策、秘书长工作、筹资能力等方面的评价</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4.1.2监事评价</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(10分)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4.1.2.1对基金会民主决策、领导班子履行职责、财务管理、资金使用等方面的评价</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4.2公众评价  (30分)</w:t>
            </w:r>
          </w:p>
        </w:tc>
        <w:tc>
          <w:tcPr>
            <w:tcW w:w="1701"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4.2.1捐赠人评价(20分)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4.2.1.1对基金会公益性、项目效果满意度、社会影响力等方面的评价</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4.2.2受助人评价(5分)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4.2.2.1对基金会总体印象、 公正公开选定受助人、履行协议等方面的评价</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4.2.3志愿者评价(5分)</w:t>
            </w: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4.2.3.1对基金会公益性、项目创新性、项目可操作性、社会效果、志愿者管理等方面的评价</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4.3外部评价（50分）</w:t>
            </w:r>
          </w:p>
        </w:tc>
        <w:tc>
          <w:tcPr>
            <w:tcW w:w="1701"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4.3.1媒体评价</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（20分）</w:t>
            </w:r>
          </w:p>
        </w:tc>
        <w:tc>
          <w:tcPr>
            <w:tcW w:w="4536" w:type="dxa"/>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4.3.1.1省级以上媒体有褒扬记录</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4.3.2政府部门评价（20分）</w:t>
            </w:r>
          </w:p>
        </w:tc>
        <w:tc>
          <w:tcPr>
            <w:tcW w:w="4536" w:type="dxa"/>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4.3.2.1受到政府有关部门的表扬或奖励</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Pr>
          <w:p>
            <w:pPr>
              <w:widowControl/>
              <w:jc w:val="left"/>
              <w:rPr>
                <w:rFonts w:ascii="宋体" w:hAnsi="宋体" w:eastAsia="宋体" w:cs="宋体"/>
                <w:kern w:val="0"/>
                <w:sz w:val="18"/>
                <w:szCs w:val="18"/>
              </w:rPr>
            </w:pPr>
          </w:p>
        </w:tc>
        <w:tc>
          <w:tcPr>
            <w:tcW w:w="1418" w:type="dxa"/>
            <w:vMerge w:val="continue"/>
            <w:vAlign w:val="center"/>
          </w:tcPr>
          <w:p>
            <w:pPr>
              <w:widowControl/>
              <w:jc w:val="center"/>
              <w:rPr>
                <w:rFonts w:ascii="宋体" w:hAnsi="宋体" w:eastAsia="宋体" w:cs="宋体"/>
                <w:kern w:val="0"/>
                <w:sz w:val="18"/>
                <w:szCs w:val="18"/>
              </w:rPr>
            </w:pPr>
          </w:p>
        </w:tc>
        <w:tc>
          <w:tcPr>
            <w:tcW w:w="1701"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4.3.3其他社会评价（10分）</w:t>
            </w:r>
          </w:p>
        </w:tc>
        <w:tc>
          <w:tcPr>
            <w:tcW w:w="4536" w:type="dxa"/>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4.3.3.1受到社会组织或社会公众的表扬或肯定</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10" w:type="dxa"/>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76" w:type="dxa"/>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1418" w:type="dxa"/>
            <w:vAlign w:val="center"/>
          </w:tcPr>
          <w:p>
            <w:pPr>
              <w:widowControl/>
              <w:jc w:val="center"/>
              <w:rPr>
                <w:rFonts w:ascii="宋体" w:hAnsi="宋体" w:eastAsia="宋体" w:cs="宋体"/>
                <w:kern w:val="0"/>
                <w:sz w:val="18"/>
                <w:szCs w:val="18"/>
              </w:rPr>
            </w:pPr>
          </w:p>
        </w:tc>
        <w:tc>
          <w:tcPr>
            <w:tcW w:w="1701" w:type="dxa"/>
            <w:vAlign w:val="center"/>
          </w:tcPr>
          <w:p>
            <w:pPr>
              <w:widowControl/>
              <w:jc w:val="center"/>
              <w:rPr>
                <w:rFonts w:ascii="宋体" w:hAnsi="宋体" w:eastAsia="宋体" w:cs="宋体"/>
                <w:kern w:val="0"/>
                <w:sz w:val="18"/>
                <w:szCs w:val="18"/>
              </w:rPr>
            </w:pPr>
          </w:p>
        </w:tc>
        <w:tc>
          <w:tcPr>
            <w:tcW w:w="4536"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1000</w:t>
            </w:r>
          </w:p>
        </w:tc>
        <w:tc>
          <w:tcPr>
            <w:tcW w:w="710" w:type="dxa"/>
          </w:tcPr>
          <w:p>
            <w:pPr>
              <w:widowControl/>
              <w:jc w:val="center"/>
              <w:rPr>
                <w:rFonts w:ascii="宋体" w:hAnsi="宋体" w:eastAsia="宋体" w:cs="宋体"/>
                <w:kern w:val="0"/>
                <w:sz w:val="18"/>
                <w:szCs w:val="18"/>
              </w:rPr>
            </w:pPr>
          </w:p>
        </w:tc>
      </w:tr>
    </w:tbl>
    <w:p>
      <w:pPr>
        <w:rPr>
          <w:rFonts w:ascii="Times New Roman" w:hAnsi="Times New Roman" w:eastAsia="宋体" w:cs="Times New Roman"/>
          <w:szCs w:val="24"/>
        </w:rPr>
      </w:pPr>
      <w:bookmarkStart w:id="0" w:name="_GoBack"/>
      <w:bookmarkEnd w:id="0"/>
    </w:p>
    <w:p>
      <w:pPr>
        <w:rPr>
          <w:rFonts w:ascii="Times New Roman" w:hAnsi="Times New Roman" w:eastAsia="宋体" w:cs="Times New Roman"/>
          <w:b/>
          <w:szCs w:val="24"/>
        </w:rPr>
      </w:pPr>
    </w:p>
    <w:p>
      <w:pPr>
        <w:spacing w:after="100" w:afterAutospacing="1"/>
        <w:rPr>
          <w:rFonts w:hint="eastAsia" w:ascii="Times New Roman" w:hAnsi="Times New Roman" w:eastAsia="宋体" w:cs="Times New Roman"/>
          <w:b/>
          <w:szCs w:val="24"/>
          <w:lang w:val="en-US" w:eastAsia="zh-CN"/>
        </w:rPr>
      </w:pPr>
      <w:r>
        <w:rPr>
          <w:rFonts w:hint="eastAsia" w:ascii="Times New Roman" w:hAnsi="Times New Roman" w:eastAsia="宋体" w:cs="Times New Roman"/>
          <w:b/>
          <w:szCs w:val="24"/>
        </w:rPr>
        <w:t>说明：江苏省基金会在进行自评时，涉及基金会总收入、捐赠收入、公益支出的全省平均水平数参照</w:t>
      </w:r>
      <w:r>
        <w:rPr>
          <w:rFonts w:hint="eastAsia" w:ascii="Times New Roman" w:hAnsi="Times New Roman" w:eastAsia="宋体" w:cs="Times New Roman"/>
          <w:b/>
          <w:szCs w:val="24"/>
          <w:lang w:val="en-US" w:eastAsia="zh-CN"/>
        </w:rPr>
        <w:t>2018</w:t>
      </w:r>
      <w:r>
        <w:rPr>
          <w:rFonts w:hint="eastAsia" w:ascii="Times New Roman" w:hAnsi="Times New Roman" w:eastAsia="宋体" w:cs="Times New Roman"/>
          <w:b/>
          <w:szCs w:val="24"/>
        </w:rPr>
        <w:t>年、</w:t>
      </w:r>
      <w:r>
        <w:rPr>
          <w:rFonts w:hint="eastAsia" w:ascii="Times New Roman" w:hAnsi="Times New Roman" w:eastAsia="宋体" w:cs="Times New Roman"/>
          <w:b/>
          <w:szCs w:val="24"/>
          <w:lang w:val="en-US" w:eastAsia="zh-CN"/>
        </w:rPr>
        <w:t>2019</w:t>
      </w:r>
      <w:r>
        <w:rPr>
          <w:rFonts w:hint="eastAsia" w:ascii="Times New Roman" w:hAnsi="Times New Roman" w:eastAsia="宋体" w:cs="Times New Roman"/>
          <w:b/>
          <w:szCs w:val="24"/>
        </w:rPr>
        <w:t>年两年平均数，具体数据</w:t>
      </w:r>
      <w:r>
        <w:rPr>
          <w:rFonts w:hint="eastAsia" w:ascii="Times New Roman" w:hAnsi="Times New Roman" w:eastAsia="宋体" w:cs="Times New Roman"/>
          <w:b/>
          <w:szCs w:val="24"/>
          <w:lang w:eastAsia="zh-CN"/>
        </w:rPr>
        <w:t>待省厅公布。</w:t>
      </w:r>
    </w:p>
    <w:p>
      <w:pPr>
        <w:rPr>
          <w:sz w:val="18"/>
          <w:szCs w:val="18"/>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466"/>
    <w:rsid w:val="000150D1"/>
    <w:rsid w:val="000249C4"/>
    <w:rsid w:val="0009706F"/>
    <w:rsid w:val="00116B34"/>
    <w:rsid w:val="00151455"/>
    <w:rsid w:val="001C0840"/>
    <w:rsid w:val="00286518"/>
    <w:rsid w:val="002C163A"/>
    <w:rsid w:val="002D653B"/>
    <w:rsid w:val="003B2F6B"/>
    <w:rsid w:val="003C4F34"/>
    <w:rsid w:val="003F6C5B"/>
    <w:rsid w:val="004D07BE"/>
    <w:rsid w:val="004E6438"/>
    <w:rsid w:val="00596E6C"/>
    <w:rsid w:val="005B7B76"/>
    <w:rsid w:val="00613D48"/>
    <w:rsid w:val="00657AB7"/>
    <w:rsid w:val="006A04BB"/>
    <w:rsid w:val="006A4D03"/>
    <w:rsid w:val="00701814"/>
    <w:rsid w:val="007470A2"/>
    <w:rsid w:val="007C1EE6"/>
    <w:rsid w:val="008512E5"/>
    <w:rsid w:val="00896B63"/>
    <w:rsid w:val="008A1CE9"/>
    <w:rsid w:val="008B30EF"/>
    <w:rsid w:val="00973532"/>
    <w:rsid w:val="009C10BC"/>
    <w:rsid w:val="009D0627"/>
    <w:rsid w:val="00A014C2"/>
    <w:rsid w:val="00A24B8F"/>
    <w:rsid w:val="00AF37BE"/>
    <w:rsid w:val="00B01466"/>
    <w:rsid w:val="00B419AD"/>
    <w:rsid w:val="00BE3554"/>
    <w:rsid w:val="00C425AF"/>
    <w:rsid w:val="00C96F73"/>
    <w:rsid w:val="00CA3B24"/>
    <w:rsid w:val="00CF2095"/>
    <w:rsid w:val="00D12BF2"/>
    <w:rsid w:val="00D520A4"/>
    <w:rsid w:val="00DB208C"/>
    <w:rsid w:val="00E00491"/>
    <w:rsid w:val="00E41799"/>
    <w:rsid w:val="00E877B1"/>
    <w:rsid w:val="00EE2977"/>
    <w:rsid w:val="00F2354E"/>
    <w:rsid w:val="00F325E3"/>
    <w:rsid w:val="00FA6177"/>
    <w:rsid w:val="5CDD0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B0F489-E31A-4C20-9688-E08C9675AF9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938</Words>
  <Characters>5352</Characters>
  <Lines>44</Lines>
  <Paragraphs>12</Paragraphs>
  <TotalTime>126</TotalTime>
  <ScaleCrop>false</ScaleCrop>
  <LinksUpToDate>false</LinksUpToDate>
  <CharactersWithSpaces>6278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2019-10-23T01:18:00Z</dcterms:created>
  <dc:creator>严磊</dc:creator>
  <cp:lastModifiedBy>陈丹妮</cp:lastModifiedBy>
  <dcterms:modified xsi:type="dcterms:W3CDTF">2020-06-17T02:41:56Z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